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600" w:rsidRDefault="00D26600" w:rsidP="00D26600">
      <w:pPr>
        <w:pStyle w:val="Default"/>
        <w:ind w:left="142"/>
        <w:rPr>
          <w:rFonts w:asciiTheme="minorHAnsi" w:hAnsiTheme="minorHAnsi"/>
        </w:rPr>
      </w:pPr>
    </w:p>
    <w:p w:rsidR="00022D3D" w:rsidRPr="00D26600" w:rsidRDefault="000769EF" w:rsidP="00D26600">
      <w:pPr>
        <w:pStyle w:val="Default"/>
        <w:ind w:left="142"/>
        <w:rPr>
          <w:rFonts w:asciiTheme="minorHAnsi" w:hAnsiTheme="minorHAnsi"/>
          <w:i/>
        </w:rPr>
      </w:pPr>
      <w:r>
        <w:rPr>
          <w:color w:val="333333"/>
        </w:rPr>
        <w:t xml:space="preserve">These resources were prepared by teachers, for teachers in partnership with the Aga Khan Museum, the Ministry of Education, and </w:t>
      </w:r>
      <w:r>
        <w:rPr>
          <w:color w:val="333333"/>
        </w:rPr>
        <w:t xml:space="preserve">the Ontario Music Educators’ Association. </w:t>
      </w:r>
      <w:r>
        <w:rPr>
          <w:color w:val="333333"/>
        </w:rPr>
        <w:t>These Curriculum-linked resources were inspired by the Museum’s Permanent Collection</w:t>
      </w:r>
      <w:r>
        <w:rPr>
          <w:color w:val="333333"/>
        </w:rPr>
        <w:t xml:space="preserve"> </w:t>
      </w:r>
      <w:r w:rsidRPr="000769EF">
        <w:rPr>
          <w:color w:val="333333"/>
          <w:sz w:val="16"/>
          <w:szCs w:val="16"/>
        </w:rPr>
        <w:t>(</w:t>
      </w:r>
      <w:r w:rsidRPr="000769EF">
        <w:rPr>
          <w:color w:val="333333"/>
          <w:sz w:val="16"/>
          <w:szCs w:val="16"/>
        </w:rPr>
        <w:t>Object information and images courtesy of the Aga Khan Museum</w:t>
      </w:r>
      <w:r w:rsidRPr="000769EF">
        <w:rPr>
          <w:color w:val="333333"/>
          <w:sz w:val="16"/>
          <w:szCs w:val="16"/>
        </w:rPr>
        <w:t>)</w:t>
      </w:r>
      <w:r>
        <w:rPr>
          <w:color w:val="333333"/>
        </w:rPr>
        <w:t xml:space="preserve">. </w:t>
      </w:r>
      <w:r w:rsidR="00022D3D" w:rsidRPr="00D26600">
        <w:rPr>
          <w:rFonts w:asciiTheme="minorHAnsi" w:hAnsiTheme="minorHAnsi"/>
        </w:rPr>
        <w:t xml:space="preserve">This resource was developed </w:t>
      </w:r>
      <w:r w:rsidR="00022D3D" w:rsidRPr="00D26600">
        <w:rPr>
          <w:rFonts w:asciiTheme="minorHAnsi" w:hAnsiTheme="minorHAnsi"/>
          <w:i/>
        </w:rPr>
        <w:t xml:space="preserve">to “expand students’ knowledge and understanding of the traditional music of Asia and the Islamic world as well as their contemporary expression.” </w:t>
      </w:r>
      <w:r w:rsidR="00022D3D" w:rsidRPr="000769EF">
        <w:rPr>
          <w:rFonts w:asciiTheme="minorHAnsi" w:hAnsiTheme="minorHAnsi"/>
          <w:i/>
          <w:sz w:val="16"/>
          <w:szCs w:val="16"/>
        </w:rPr>
        <w:t>(from the Aga Khan Museum website</w:t>
      </w:r>
      <w:r w:rsidR="00022D3D" w:rsidRPr="00D26600">
        <w:rPr>
          <w:rFonts w:asciiTheme="minorHAnsi" w:hAnsiTheme="minorHAnsi"/>
          <w:i/>
        </w:rPr>
        <w:t xml:space="preserve">). </w:t>
      </w:r>
    </w:p>
    <w:p w:rsidR="00022D3D" w:rsidRPr="00D26600" w:rsidRDefault="00022D3D" w:rsidP="00D26600">
      <w:pPr>
        <w:pStyle w:val="Default"/>
        <w:ind w:left="142"/>
        <w:rPr>
          <w:rFonts w:asciiTheme="minorHAnsi" w:hAnsiTheme="minorHAnsi"/>
        </w:rPr>
      </w:pPr>
      <w:bookmarkStart w:id="0" w:name="_GoBack"/>
      <w:bookmarkEnd w:id="0"/>
    </w:p>
    <w:p w:rsidR="00022D3D" w:rsidRPr="00D26600" w:rsidRDefault="00022D3D" w:rsidP="00D26600">
      <w:pPr>
        <w:pStyle w:val="Default"/>
        <w:ind w:left="142"/>
        <w:rPr>
          <w:rFonts w:asciiTheme="minorHAnsi" w:hAnsiTheme="minorHAnsi"/>
          <w:i/>
        </w:rPr>
      </w:pPr>
      <w:r w:rsidRPr="00D26600">
        <w:rPr>
          <w:rFonts w:asciiTheme="minorHAnsi" w:hAnsiTheme="minorHAnsi"/>
        </w:rPr>
        <w:t>To reach these objectives, OMEA convened a team of music educators. In their creative process, writers had the</w:t>
      </w:r>
      <w:r w:rsidR="007E4544">
        <w:rPr>
          <w:rFonts w:asciiTheme="minorHAnsi" w:hAnsiTheme="minorHAnsi"/>
        </w:rPr>
        <w:t xml:space="preserve"> opportunity to explo</w:t>
      </w:r>
      <w:r w:rsidRPr="00D26600">
        <w:rPr>
          <w:rFonts w:asciiTheme="minorHAnsi" w:hAnsiTheme="minorHAnsi"/>
        </w:rPr>
        <w:t>r</w:t>
      </w:r>
      <w:r w:rsidR="007E4544">
        <w:rPr>
          <w:rFonts w:asciiTheme="minorHAnsi" w:hAnsiTheme="minorHAnsi"/>
        </w:rPr>
        <w:t>e</w:t>
      </w:r>
      <w:r w:rsidRPr="00D26600">
        <w:rPr>
          <w:rFonts w:asciiTheme="minorHAnsi" w:hAnsiTheme="minorHAnsi"/>
        </w:rPr>
        <w:t xml:space="preserve"> the Aga Khan Museum, research </w:t>
      </w:r>
      <w:r w:rsidR="007E4544">
        <w:rPr>
          <w:rFonts w:asciiTheme="minorHAnsi" w:hAnsiTheme="minorHAnsi"/>
        </w:rPr>
        <w:t>and experience the</w:t>
      </w:r>
      <w:r w:rsidRPr="00D26600">
        <w:rPr>
          <w:rFonts w:asciiTheme="minorHAnsi" w:hAnsiTheme="minorHAnsi"/>
        </w:rPr>
        <w:t xml:space="preserve"> music of Asia and the </w:t>
      </w:r>
      <w:r w:rsidRPr="007E4544">
        <w:rPr>
          <w:rFonts w:asciiTheme="minorHAnsi" w:hAnsiTheme="minorHAnsi"/>
        </w:rPr>
        <w:t xml:space="preserve">Islamic world, and connect these resources to the Ontario Music Curriculum. The result is an engaging collection of music resources for Ontario students from grades 1 through 12. </w:t>
      </w:r>
    </w:p>
    <w:p w:rsidR="00022D3D" w:rsidRPr="00D26600" w:rsidRDefault="00022D3D" w:rsidP="00022D3D">
      <w:pPr>
        <w:pStyle w:val="Default"/>
        <w:ind w:left="720"/>
        <w:rPr>
          <w:rFonts w:asciiTheme="minorHAnsi" w:hAnsiTheme="minorHAnsi"/>
          <w:i/>
        </w:rPr>
      </w:pPr>
    </w:p>
    <w:p w:rsidR="00022D3D" w:rsidRPr="00D26600" w:rsidRDefault="00022D3D" w:rsidP="00D26600">
      <w:pPr>
        <w:pStyle w:val="Default"/>
        <w:ind w:left="142"/>
        <w:rPr>
          <w:rFonts w:asciiTheme="minorHAnsi" w:hAnsiTheme="minorHAnsi"/>
          <w:b/>
          <w:sz w:val="28"/>
          <w:szCs w:val="28"/>
        </w:rPr>
      </w:pPr>
      <w:r w:rsidRPr="00D26600">
        <w:rPr>
          <w:rFonts w:asciiTheme="minorHAnsi" w:hAnsiTheme="minorHAnsi"/>
          <w:b/>
          <w:sz w:val="28"/>
          <w:szCs w:val="28"/>
        </w:rPr>
        <w:t>Project Goals:</w:t>
      </w:r>
    </w:p>
    <w:p w:rsidR="007E4544" w:rsidRDefault="00022D3D" w:rsidP="00D26600">
      <w:pPr>
        <w:pStyle w:val="Default"/>
        <w:ind w:left="720"/>
        <w:rPr>
          <w:rFonts w:asciiTheme="minorHAnsi" w:hAnsiTheme="minorHAnsi"/>
        </w:rPr>
      </w:pPr>
      <w:r w:rsidRPr="00D26600">
        <w:rPr>
          <w:rFonts w:asciiTheme="minorHAnsi" w:hAnsiTheme="minorHAnsi"/>
        </w:rPr>
        <w:t xml:space="preserve">• To “expand students’ knowledge and understanding of the traditional music of Asia and Islamic world as well as their contemporary expression” </w:t>
      </w:r>
    </w:p>
    <w:p w:rsidR="007E4544" w:rsidRDefault="007E4544" w:rsidP="00D26600">
      <w:pPr>
        <w:pStyle w:val="Default"/>
        <w:ind w:left="720"/>
        <w:rPr>
          <w:rFonts w:asciiTheme="minorHAnsi" w:hAnsiTheme="minorHAnsi"/>
        </w:rPr>
      </w:pPr>
      <w:r w:rsidRPr="00D26600">
        <w:rPr>
          <w:rFonts w:asciiTheme="minorHAnsi" w:hAnsiTheme="minorHAnsi"/>
        </w:rPr>
        <w:t xml:space="preserve">• </w:t>
      </w:r>
      <w:r>
        <w:rPr>
          <w:rFonts w:asciiTheme="minorHAnsi" w:hAnsiTheme="minorHAnsi"/>
        </w:rPr>
        <w:t>To connect with overall expectations in the Arts/Music curriculum of Ontario</w:t>
      </w:r>
    </w:p>
    <w:p w:rsidR="00022D3D" w:rsidRPr="00D26600" w:rsidRDefault="00022D3D" w:rsidP="00D26600">
      <w:pPr>
        <w:pStyle w:val="Default"/>
        <w:ind w:left="720"/>
        <w:rPr>
          <w:rFonts w:asciiTheme="minorHAnsi" w:hAnsiTheme="minorHAnsi"/>
        </w:rPr>
      </w:pPr>
      <w:r w:rsidRPr="00D26600">
        <w:rPr>
          <w:rFonts w:asciiTheme="minorHAnsi" w:hAnsiTheme="minorHAnsi"/>
        </w:rPr>
        <w:t xml:space="preserve">• To encourage cross-cultural collaborations </w:t>
      </w:r>
    </w:p>
    <w:p w:rsidR="00022D3D" w:rsidRPr="00D26600" w:rsidRDefault="00022D3D" w:rsidP="00D26600">
      <w:pPr>
        <w:pStyle w:val="Default"/>
        <w:ind w:left="720"/>
        <w:rPr>
          <w:rFonts w:asciiTheme="minorHAnsi" w:hAnsiTheme="minorHAnsi"/>
        </w:rPr>
      </w:pPr>
      <w:r w:rsidRPr="00D26600">
        <w:rPr>
          <w:rFonts w:asciiTheme="minorHAnsi" w:hAnsiTheme="minorHAnsi"/>
        </w:rPr>
        <w:t xml:space="preserve">• To integrate technology and other Ontario curricula </w:t>
      </w:r>
    </w:p>
    <w:p w:rsidR="00022D3D" w:rsidRPr="00D26600" w:rsidRDefault="00022D3D" w:rsidP="00D26600">
      <w:pPr>
        <w:pStyle w:val="Default"/>
        <w:ind w:left="720"/>
        <w:rPr>
          <w:rFonts w:asciiTheme="minorHAnsi" w:hAnsiTheme="minorHAnsi"/>
        </w:rPr>
      </w:pPr>
      <w:r w:rsidRPr="00D26600">
        <w:rPr>
          <w:rFonts w:asciiTheme="minorHAnsi" w:hAnsiTheme="minorHAnsi"/>
        </w:rPr>
        <w:t xml:space="preserve">• To develop learning through the Ontario Arts Curriculum’s Creative and Critical Analysis Processes. </w:t>
      </w:r>
    </w:p>
    <w:p w:rsidR="00022D3D" w:rsidRPr="00D26600" w:rsidRDefault="00022D3D" w:rsidP="00022D3D">
      <w:pPr>
        <w:pStyle w:val="Default"/>
        <w:ind w:left="1440"/>
        <w:rPr>
          <w:rFonts w:asciiTheme="minorHAnsi" w:hAnsiTheme="minorHAnsi"/>
          <w:i/>
        </w:rPr>
      </w:pPr>
    </w:p>
    <w:p w:rsidR="00022D3D" w:rsidRPr="00D26600" w:rsidRDefault="007E4544" w:rsidP="00D26600">
      <w:pPr>
        <w:pStyle w:val="Default"/>
        <w:ind w:left="142"/>
        <w:rPr>
          <w:rFonts w:asciiTheme="minorHAnsi" w:hAnsiTheme="minorHAnsi"/>
          <w:b/>
          <w:sz w:val="28"/>
          <w:szCs w:val="28"/>
        </w:rPr>
      </w:pPr>
      <w:r>
        <w:rPr>
          <w:rFonts w:asciiTheme="minorHAnsi" w:hAnsiTheme="minorHAnsi"/>
          <w:b/>
          <w:sz w:val="28"/>
          <w:szCs w:val="28"/>
        </w:rPr>
        <w:t xml:space="preserve">Project </w:t>
      </w:r>
      <w:r w:rsidR="00022D3D" w:rsidRPr="00D26600">
        <w:rPr>
          <w:rFonts w:asciiTheme="minorHAnsi" w:hAnsiTheme="minorHAnsi"/>
          <w:b/>
          <w:sz w:val="28"/>
          <w:szCs w:val="28"/>
        </w:rPr>
        <w:t>Content:</w:t>
      </w:r>
    </w:p>
    <w:p w:rsidR="00AD4943" w:rsidRDefault="00D26600" w:rsidP="00022D3D">
      <w:pPr>
        <w:pStyle w:val="Default"/>
        <w:ind w:left="720"/>
        <w:rPr>
          <w:sz w:val="20"/>
          <w:szCs w:val="20"/>
        </w:rPr>
      </w:pPr>
      <w:r>
        <w:rPr>
          <w:noProof/>
        </w:rPr>
        <w:drawing>
          <wp:anchor distT="0" distB="0" distL="114300" distR="114300" simplePos="0" relativeHeight="251658240" behindDoc="1" locked="0" layoutInCell="1" allowOverlap="1" wp14:anchorId="2B8D0645">
            <wp:simplePos x="0" y="0"/>
            <wp:positionH relativeFrom="column">
              <wp:posOffset>3414395</wp:posOffset>
            </wp:positionH>
            <wp:positionV relativeFrom="paragraph">
              <wp:posOffset>46355</wp:posOffset>
            </wp:positionV>
            <wp:extent cx="2392680" cy="2544445"/>
            <wp:effectExtent l="0" t="0" r="7620" b="8255"/>
            <wp:wrapTight wrapText="bothSides">
              <wp:wrapPolygon edited="0">
                <wp:start x="0" y="0"/>
                <wp:lineTo x="0" y="21508"/>
                <wp:lineTo x="21497" y="21508"/>
                <wp:lineTo x="2149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t="34434" r="75897" b="19999"/>
                    <a:stretch/>
                  </pic:blipFill>
                  <pic:spPr bwMode="auto">
                    <a:xfrm>
                      <a:off x="0" y="0"/>
                      <a:ext cx="2392680" cy="254444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AD4943" w:rsidRDefault="00AD4943" w:rsidP="00022D3D">
      <w:pPr>
        <w:pStyle w:val="Default"/>
        <w:ind w:left="720"/>
        <w:rPr>
          <w:sz w:val="20"/>
          <w:szCs w:val="20"/>
        </w:rPr>
      </w:pPr>
      <w:r>
        <w:rPr>
          <w:noProof/>
        </w:rPr>
        <w:drawing>
          <wp:inline distT="0" distB="0" distL="0" distR="0" wp14:anchorId="264ED26A" wp14:editId="38EAE860">
            <wp:extent cx="2522143" cy="2217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11853" r="72692" b="45466"/>
                    <a:stretch/>
                  </pic:blipFill>
                  <pic:spPr bwMode="auto">
                    <a:xfrm>
                      <a:off x="0" y="0"/>
                      <a:ext cx="2536888" cy="2230383"/>
                    </a:xfrm>
                    <a:prstGeom prst="rect">
                      <a:avLst/>
                    </a:prstGeom>
                    <a:ln>
                      <a:noFill/>
                    </a:ln>
                    <a:extLst>
                      <a:ext uri="{53640926-AAD7-44D8-BBD7-CCE9431645EC}">
                        <a14:shadowObscured xmlns:a14="http://schemas.microsoft.com/office/drawing/2010/main"/>
                      </a:ext>
                    </a:extLst>
                  </pic:spPr>
                </pic:pic>
              </a:graphicData>
            </a:graphic>
          </wp:inline>
        </w:drawing>
      </w:r>
    </w:p>
    <w:p w:rsidR="00AD4943" w:rsidRDefault="00AD4943" w:rsidP="00022D3D">
      <w:pPr>
        <w:pStyle w:val="Default"/>
        <w:ind w:left="720"/>
        <w:rPr>
          <w:sz w:val="20"/>
          <w:szCs w:val="20"/>
        </w:rPr>
      </w:pPr>
    </w:p>
    <w:p w:rsidR="000D6058" w:rsidRPr="00D26600" w:rsidRDefault="00AD4943">
      <w:pPr>
        <w:rPr>
          <w:b/>
          <w:sz w:val="28"/>
          <w:szCs w:val="28"/>
        </w:rPr>
      </w:pPr>
      <w:r w:rsidRPr="00D26600">
        <w:rPr>
          <w:b/>
          <w:sz w:val="28"/>
          <w:szCs w:val="28"/>
        </w:rPr>
        <w:t>An Important Consideration:</w:t>
      </w:r>
    </w:p>
    <w:p w:rsidR="00AD4943" w:rsidRPr="00D26600" w:rsidRDefault="00AD4943">
      <w:pPr>
        <w:rPr>
          <w:sz w:val="24"/>
          <w:szCs w:val="24"/>
        </w:rPr>
      </w:pPr>
      <w:r w:rsidRPr="00D26600">
        <w:rPr>
          <w:sz w:val="24"/>
          <w:szCs w:val="24"/>
        </w:rPr>
        <w:t xml:space="preserve">While OMEA has worked in good conscience with the Aga Khan Museum, and while the writing team </w:t>
      </w:r>
      <w:r w:rsidR="007E4544">
        <w:rPr>
          <w:sz w:val="24"/>
          <w:szCs w:val="24"/>
        </w:rPr>
        <w:t xml:space="preserve">itself </w:t>
      </w:r>
      <w:r w:rsidRPr="00D26600">
        <w:rPr>
          <w:sz w:val="24"/>
          <w:szCs w:val="24"/>
        </w:rPr>
        <w:t>included music educators from some of the cultures this r</w:t>
      </w:r>
      <w:r w:rsidR="007E4544">
        <w:rPr>
          <w:sz w:val="24"/>
          <w:szCs w:val="24"/>
        </w:rPr>
        <w:t>esource touches upon, we in no way</w:t>
      </w:r>
      <w:r w:rsidRPr="00D26600">
        <w:rPr>
          <w:sz w:val="24"/>
          <w:szCs w:val="24"/>
        </w:rPr>
        <w:t xml:space="preserve"> present these resources as a thorough or complete consideration of the music and culture of the vast Muslim world. There are many ways of seeing, underst</w:t>
      </w:r>
      <w:r w:rsidR="00D26600" w:rsidRPr="00D26600">
        <w:rPr>
          <w:sz w:val="24"/>
          <w:szCs w:val="24"/>
        </w:rPr>
        <w:t>anding, and creating Art, and this resource does not pretend to reflect them all.  In recognition of this, we have often used learning strategies that encourage further research and thinking, including employing the Critical Process and a variety of inquiry-based learning models. It is our sincere hope that these resources support a spirit of musical and cultural understanding.</w:t>
      </w:r>
    </w:p>
    <w:sectPr w:rsidR="00AD4943" w:rsidRPr="00D26600" w:rsidSect="00D26600">
      <w:headerReference w:type="default" r:id="rId8"/>
      <w:pgSz w:w="12240" w:h="15840"/>
      <w:pgMar w:top="1440" w:right="900" w:bottom="709"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BED" w:rsidRDefault="00247BED" w:rsidP="00D26600">
      <w:pPr>
        <w:spacing w:after="0" w:line="240" w:lineRule="auto"/>
      </w:pPr>
      <w:r>
        <w:separator/>
      </w:r>
    </w:p>
  </w:endnote>
  <w:endnote w:type="continuationSeparator" w:id="0">
    <w:p w:rsidR="00247BED" w:rsidRDefault="00247BED" w:rsidP="00D26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BED" w:rsidRDefault="00247BED" w:rsidP="00D26600">
      <w:pPr>
        <w:spacing w:after="0" w:line="240" w:lineRule="auto"/>
      </w:pPr>
      <w:r>
        <w:separator/>
      </w:r>
    </w:p>
  </w:footnote>
  <w:footnote w:type="continuationSeparator" w:id="0">
    <w:p w:rsidR="00247BED" w:rsidRDefault="00247BED" w:rsidP="00D266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600" w:rsidRPr="00D26600" w:rsidRDefault="007E4544" w:rsidP="00D26600">
    <w:pPr>
      <w:pStyle w:val="Header"/>
      <w:jc w:val="center"/>
    </w:pPr>
    <w:r>
      <w:rPr>
        <w:noProof/>
      </w:rPr>
      <w:drawing>
        <wp:anchor distT="0" distB="0" distL="114300" distR="114300" simplePos="0" relativeHeight="251660288" behindDoc="1" locked="0" layoutInCell="1" allowOverlap="1" wp14:anchorId="62A38B19">
          <wp:simplePos x="0" y="0"/>
          <wp:positionH relativeFrom="column">
            <wp:posOffset>-106045</wp:posOffset>
          </wp:positionH>
          <wp:positionV relativeFrom="paragraph">
            <wp:posOffset>-90170</wp:posOffset>
          </wp:positionV>
          <wp:extent cx="2117725" cy="745490"/>
          <wp:effectExtent l="0" t="0" r="0" b="0"/>
          <wp:wrapTight wrapText="bothSides">
            <wp:wrapPolygon edited="0">
              <wp:start x="2526" y="552"/>
              <wp:lineTo x="1360" y="3312"/>
              <wp:lineTo x="194" y="7727"/>
              <wp:lineTo x="194" y="13247"/>
              <wp:lineTo x="1749" y="19319"/>
              <wp:lineTo x="2915" y="20974"/>
              <wp:lineTo x="4469" y="20974"/>
              <wp:lineTo x="5052" y="19319"/>
              <wp:lineTo x="20790" y="17111"/>
              <wp:lineTo x="21179" y="16007"/>
              <wp:lineTo x="18264" y="10487"/>
              <wp:lineTo x="18264" y="9935"/>
              <wp:lineTo x="4469" y="1656"/>
              <wp:lineTo x="3692" y="552"/>
              <wp:lineTo x="2526" y="552"/>
            </wp:wrapPolygon>
          </wp:wrapTight>
          <wp:docPr id="18" name="Picture 18" descr="https://www.omea.on.ca/wp-content/uploads/2016/02/omea-logo-touchup-300x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omea.on.ca/wp-content/uploads/2016/02/omea-logo-touchup-300x10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725" cy="7454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2225675</wp:posOffset>
              </wp:positionH>
              <wp:positionV relativeFrom="paragraph">
                <wp:posOffset>-34290</wp:posOffset>
              </wp:positionV>
              <wp:extent cx="2346960" cy="67056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346960" cy="670560"/>
                      </a:xfrm>
                      <a:prstGeom prst="rect">
                        <a:avLst/>
                      </a:prstGeom>
                      <a:solidFill>
                        <a:schemeClr val="lt1"/>
                      </a:solidFill>
                      <a:ln w="6350">
                        <a:noFill/>
                      </a:ln>
                    </wps:spPr>
                    <wps:txbx>
                      <w:txbxContent>
                        <w:p w:rsidR="007E4544" w:rsidRPr="007E4544" w:rsidRDefault="007E4544" w:rsidP="007E4544">
                          <w:pPr>
                            <w:jc w:val="center"/>
                            <w:rPr>
                              <w:b/>
                              <w:sz w:val="28"/>
                              <w:szCs w:val="28"/>
                            </w:rPr>
                          </w:pPr>
                          <w:r w:rsidRPr="007E4544">
                            <w:rPr>
                              <w:b/>
                              <w:sz w:val="28"/>
                              <w:szCs w:val="28"/>
                            </w:rPr>
                            <w:t>OMEA-Aga Khan Museum</w:t>
                          </w:r>
                        </w:p>
                        <w:p w:rsidR="007E4544" w:rsidRPr="007E4544" w:rsidRDefault="007E4544" w:rsidP="007E4544">
                          <w:pPr>
                            <w:jc w:val="center"/>
                            <w:rPr>
                              <w:b/>
                              <w:sz w:val="28"/>
                              <w:szCs w:val="28"/>
                            </w:rPr>
                          </w:pPr>
                          <w:r w:rsidRPr="007E4544">
                            <w:rPr>
                              <w:b/>
                              <w:sz w:val="28"/>
                              <w:szCs w:val="28"/>
                            </w:rPr>
                            <w:t>Music Initiative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75.25pt;margin-top:-2.7pt;width:184.8pt;height:52.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" fillcolor="white [3201]" stroked="f" strokeweight=".5pt">
              <v:textbox>
                <w:txbxContent>
                  <w:p w:rsidR="007E4544" w:rsidRPr="007E4544" w:rsidRDefault="007E4544" w:rsidP="007E4544">
                    <w:pPr>
                      <w:jc w:val="center"/>
                      <w:rPr>
                        <w:b/>
                        <w:sz w:val="28"/>
                        <w:szCs w:val="28"/>
                      </w:rPr>
                    </w:pPr>
                    <w:r w:rsidRPr="007E4544">
                      <w:rPr>
                        <w:b/>
                        <w:sz w:val="28"/>
                        <w:szCs w:val="28"/>
                      </w:rPr>
                      <w:t>OMEA-Aga Khan Museum</w:t>
                    </w:r>
                  </w:p>
                  <w:p w:rsidR="007E4544" w:rsidRPr="007E4544" w:rsidRDefault="007E4544" w:rsidP="007E4544">
                    <w:pPr>
                      <w:jc w:val="center"/>
                      <w:rPr>
                        <w:b/>
                        <w:sz w:val="28"/>
                        <w:szCs w:val="28"/>
                      </w:rPr>
                    </w:pPr>
                    <w:r w:rsidRPr="007E4544">
                      <w:rPr>
                        <w:b/>
                        <w:sz w:val="28"/>
                        <w:szCs w:val="28"/>
                      </w:rPr>
                      <w:t>Music Initiative</w:t>
                    </w:r>
                  </w:p>
                </w:txbxContent>
              </v:textbox>
            </v:shape>
          </w:pict>
        </mc:Fallback>
      </mc:AlternateContent>
    </w:r>
    <w:r>
      <w:rPr>
        <w:noProof/>
      </w:rPr>
      <w:drawing>
        <wp:anchor distT="0" distB="0" distL="114300" distR="114300" simplePos="0" relativeHeight="251658240" behindDoc="1" locked="0" layoutInCell="1" allowOverlap="1">
          <wp:simplePos x="0" y="0"/>
          <wp:positionH relativeFrom="column">
            <wp:posOffset>5101590</wp:posOffset>
          </wp:positionH>
          <wp:positionV relativeFrom="paragraph">
            <wp:posOffset>-83820</wp:posOffset>
          </wp:positionV>
          <wp:extent cx="1539240" cy="717550"/>
          <wp:effectExtent l="0" t="0" r="3810" b="6350"/>
          <wp:wrapTight wrapText="bothSides">
            <wp:wrapPolygon edited="0">
              <wp:start x="0" y="0"/>
              <wp:lineTo x="0" y="21218"/>
              <wp:lineTo x="21386" y="21218"/>
              <wp:lineTo x="21386" y="0"/>
              <wp:lineTo x="0" y="0"/>
            </wp:wrapPolygon>
          </wp:wrapTight>
          <wp:docPr id="17" name="Picture 17" descr="http://thepeerproject.com/wp-content/uploads/2016/02/Aga-Khan-Museu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peerproject.com/wp-content/uploads/2016/02/Aga-Khan-Museum-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9240" cy="717550"/>
                  </a:xfrm>
                  <a:prstGeom prst="rect">
                    <a:avLst/>
                  </a:prstGeom>
                  <a:noFill/>
                  <a:ln>
                    <a:noFill/>
                  </a:ln>
                </pic:spPr>
              </pic:pic>
            </a:graphicData>
          </a:graphic>
        </wp:anchor>
      </w:drawing>
    </w:r>
    <w:r w:rsidR="00D26600">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D3D"/>
    <w:rsid w:val="00022D3D"/>
    <w:rsid w:val="000769EF"/>
    <w:rsid w:val="000D6058"/>
    <w:rsid w:val="00247BED"/>
    <w:rsid w:val="007E4544"/>
    <w:rsid w:val="00816C7D"/>
    <w:rsid w:val="00AD4943"/>
    <w:rsid w:val="00B54570"/>
    <w:rsid w:val="00D26600"/>
    <w:rsid w:val="00DF6DAB"/>
    <w:rsid w:val="00F523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7EA31"/>
  <w15:chartTrackingRefBased/>
  <w15:docId w15:val="{44F116E0-9622-4B92-BB52-41D6713AE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2D3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266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600"/>
  </w:style>
  <w:style w:type="paragraph" w:styleId="Footer">
    <w:name w:val="footer"/>
    <w:basedOn w:val="Normal"/>
    <w:link w:val="FooterChar"/>
    <w:uiPriority w:val="99"/>
    <w:unhideWhenUsed/>
    <w:rsid w:val="00D266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2018-05-25T14:09:00Z</dcterms:created>
  <dcterms:modified xsi:type="dcterms:W3CDTF">2018-05-25T14:09:00Z</dcterms:modified>
</cp:coreProperties>
</file>